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2-3504</w:t>
      </w:r>
      <w:r>
        <w:rPr>
          <w:rFonts w:ascii="Times New Roman" w:eastAsia="Times New Roman" w:hAnsi="Times New Roman" w:cs="Times New Roman"/>
        </w:rPr>
        <w:t>-2602/24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«Энергосбыт</w:t>
      </w:r>
      <w:r>
        <w:rPr>
          <w:rFonts w:ascii="Times New Roman" w:eastAsia="Times New Roman" w:hAnsi="Times New Roman" w:cs="Times New Roman"/>
          <w:sz w:val="26"/>
          <w:szCs w:val="26"/>
        </w:rPr>
        <w:t>овая компания «Восток» к Лапаёвой Анастасии Александровне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«Энергосбытовая компания «Восток» к Лапаёвой Анастасии Александровне о взыскании задолженности по оплате коммунальной услуги, пени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Лапаёвой Анастасии Александровны, 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«Энергосбытовая компания «Восток», ИНН </w:t>
      </w:r>
      <w:r>
        <w:rPr>
          <w:rStyle w:val="cat-PhoneNumbergrp-20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задолженность по оплате коммунальных услуг за период с 01.02.2023 по 31.05.2023, с 01.07.2023 по 31</w:t>
      </w:r>
      <w:r>
        <w:rPr>
          <w:rFonts w:ascii="Times New Roman" w:eastAsia="Times New Roman" w:hAnsi="Times New Roman" w:cs="Times New Roman"/>
          <w:sz w:val="26"/>
          <w:szCs w:val="26"/>
        </w:rPr>
        <w:t>.12.2023 в сумме 6 128 рублей 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копейки, пени за период с 11.03.2023 по 16.05.2024 в размере 941 рубль 92 копейки, с последующим их начислением на сумму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основного долга 6 128 рублей 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копейки по день фактической оплаты долга с учетом 1/130 ставки рефинансирования Центрального Банка России, действующей на день фактической оплаты, за каждый день неисполнения денежного обязательства, а также судебные расходы по оплате государственной пошлины в размере 400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«_____» ______________ 2024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2-3504</w:t>
      </w:r>
      <w:r>
        <w:rPr>
          <w:rFonts w:ascii="Times New Roman" w:eastAsia="Times New Roman" w:hAnsi="Times New Roman" w:cs="Times New Roman"/>
          <w:sz w:val="16"/>
          <w:szCs w:val="16"/>
        </w:rPr>
        <w:t>-2602/2024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honeNumbergrp-20rplc-11">
    <w:name w:val="cat-PhoneNumber grp-2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